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32"/>
          <w:szCs w:val="22"/>
        </w:rPr>
      </w:pPr>
      <w:r>
        <w:rPr>
          <w:rFonts w:hint="eastAsia" w:ascii="仿宋_GB2312" w:hAnsi="Calibri" w:eastAsia="仿宋_GB2312"/>
          <w:sz w:val="32"/>
          <w:szCs w:val="22"/>
        </w:rPr>
        <w:t>浙药高专团〔</w:t>
      </w:r>
      <w:r>
        <w:rPr>
          <w:rFonts w:ascii="仿宋_GB2312" w:hAnsi="Calibri" w:eastAsia="仿宋_GB2312"/>
          <w:sz w:val="32"/>
          <w:szCs w:val="22"/>
        </w:rPr>
        <w:t>201</w:t>
      </w:r>
      <w:r>
        <w:rPr>
          <w:rFonts w:hint="eastAsia" w:ascii="仿宋_GB2312" w:hAnsi="Calibri" w:eastAsia="仿宋_GB2312"/>
          <w:sz w:val="32"/>
          <w:szCs w:val="22"/>
          <w:lang w:val="en-US" w:eastAsia="zh-CN"/>
        </w:rPr>
        <w:t>9</w:t>
      </w:r>
      <w:r>
        <w:rPr>
          <w:rFonts w:hint="eastAsia" w:ascii="仿宋_GB2312" w:hAnsi="Calibri" w:eastAsia="仿宋_GB2312"/>
          <w:sz w:val="32"/>
          <w:szCs w:val="22"/>
        </w:rPr>
        <w:t>〕2号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Calibri" w:eastAsia="仿宋_GB2312"/>
          <w:sz w:val="32"/>
          <w:szCs w:val="2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b/>
          <w:sz w:val="44"/>
          <w:szCs w:val="44"/>
        </w:rPr>
      </w:pPr>
      <w:r>
        <w:rPr>
          <w:rFonts w:hint="eastAsia" w:ascii="方正小标宋简体" w:hAnsi="宋体" w:eastAsia="方正小标宋简体"/>
          <w:b/>
          <w:sz w:val="44"/>
          <w:szCs w:val="44"/>
        </w:rPr>
        <w:t>关于在全校开展“青春心向党•建功新时代”</w:t>
      </w:r>
    </w:p>
    <w:p>
      <w:pPr>
        <w:keepNext w:val="0"/>
        <w:keepLines w:val="0"/>
        <w:pageBreakBefore w:val="0"/>
        <w:widowControl w:val="0"/>
        <w:kinsoku/>
        <w:wordWrap/>
        <w:overflowPunct/>
        <w:topLinePunct w:val="0"/>
        <w:autoSpaceDE/>
        <w:autoSpaceDN/>
        <w:bidi w:val="0"/>
        <w:adjustRightInd/>
        <w:snapToGrid/>
        <w:spacing w:line="600" w:lineRule="exact"/>
        <w:ind w:left="-309" w:leftChars="-150"/>
        <w:jc w:val="center"/>
        <w:textAlignment w:val="auto"/>
        <w:rPr>
          <w:rFonts w:hint="eastAsia" w:ascii="方正小标宋简体" w:hAnsi="宋体" w:eastAsia="方正小标宋简体"/>
          <w:b/>
          <w:sz w:val="21"/>
          <w:szCs w:val="21"/>
        </w:rPr>
      </w:pPr>
      <w:r>
        <w:rPr>
          <w:rFonts w:hint="eastAsia" w:ascii="方正小标宋简体" w:hAnsi="宋体" w:eastAsia="方正小标宋简体"/>
          <w:b/>
          <w:sz w:val="44"/>
          <w:szCs w:val="44"/>
        </w:rPr>
        <w:t>特别主题团日活动的通知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宋体" w:eastAsia="方正小标宋简体"/>
          <w:b w:val="0"/>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仿宋"/>
          <w:sz w:val="32"/>
        </w:rPr>
      </w:pPr>
      <w:r>
        <w:rPr>
          <w:rFonts w:hint="eastAsia" w:eastAsia="仿宋"/>
          <w:sz w:val="32"/>
        </w:rPr>
        <w:t>各学院团委：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eastAsia="仿宋"/>
          <w:sz w:val="32"/>
        </w:rPr>
      </w:pPr>
      <w:r>
        <w:rPr>
          <w:rFonts w:hint="eastAsia" w:eastAsia="仿宋"/>
          <w:sz w:val="32"/>
        </w:rPr>
        <w:t>现将《关于在全校开展“青春心向党•建功新时代”特别主题团日活动的通知》印发给你们，请遵照执行。</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eastAsia="仿宋"/>
          <w:sz w:val="32"/>
          <w:szCs w:val="32"/>
        </w:rPr>
      </w:pPr>
      <w:r>
        <w:rPr>
          <w:rFonts w:hint="eastAsia" w:ascii="仿宋_GB2312" w:eastAsia="仿宋"/>
          <w:sz w:val="32"/>
          <w:szCs w:val="32"/>
        </w:rPr>
        <w:t>共青团浙江医药高等专科学校委员会</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150"/>
        <w:jc w:val="left"/>
        <w:textAlignment w:val="auto"/>
        <w:rPr>
          <w:rFonts w:hint="eastAsia" w:ascii="仿宋_GB2312" w:hAnsi="Calibri" w:eastAsia="仿宋_GB2312"/>
          <w:spacing w:val="-20"/>
          <w:sz w:val="32"/>
          <w:szCs w:val="22"/>
        </w:rPr>
      </w:pPr>
      <w:r>
        <w:rPr>
          <w:rFonts w:hint="eastAsia" w:ascii="仿宋_GB2312" w:eastAsia="仿宋"/>
          <w:sz w:val="32"/>
          <w:szCs w:val="32"/>
        </w:rPr>
        <w:t xml:space="preserve">                        </w:t>
      </w:r>
      <w:r>
        <w:rPr>
          <w:rFonts w:hint="eastAsia" w:ascii="仿宋_GB2312" w:eastAsia="仿宋"/>
          <w:sz w:val="32"/>
          <w:szCs w:val="32"/>
          <w:lang w:val="en-US" w:eastAsia="zh-CN"/>
        </w:rPr>
        <w:t xml:space="preserve">   </w:t>
      </w:r>
      <w:r>
        <w:rPr>
          <w:rFonts w:hint="eastAsia" w:ascii="仿宋_GB2312" w:hAnsi="Calibri" w:eastAsia="仿宋_GB2312"/>
          <w:spacing w:val="-20"/>
          <w:sz w:val="32"/>
          <w:szCs w:val="22"/>
        </w:rPr>
        <w:t>二○一</w:t>
      </w:r>
      <w:r>
        <w:rPr>
          <w:rFonts w:hint="eastAsia" w:ascii="仿宋_GB2312" w:hAnsi="Calibri" w:eastAsia="仿宋_GB2312"/>
          <w:spacing w:val="-20"/>
          <w:sz w:val="32"/>
          <w:szCs w:val="22"/>
          <w:lang w:eastAsia="zh-CN"/>
        </w:rPr>
        <w:t>九</w:t>
      </w:r>
      <w:r>
        <w:rPr>
          <w:rFonts w:hint="eastAsia" w:ascii="仿宋_GB2312" w:hAnsi="Calibri" w:eastAsia="仿宋_GB2312"/>
          <w:spacing w:val="-20"/>
          <w:sz w:val="32"/>
          <w:szCs w:val="22"/>
        </w:rPr>
        <w:t>年</w:t>
      </w:r>
      <w:r>
        <w:rPr>
          <w:rFonts w:hint="eastAsia" w:ascii="仿宋_GB2312" w:hAnsi="Calibri" w:eastAsia="仿宋_GB2312"/>
          <w:spacing w:val="-20"/>
          <w:sz w:val="32"/>
          <w:szCs w:val="22"/>
          <w:lang w:eastAsia="zh-CN"/>
        </w:rPr>
        <w:t>三</w:t>
      </w:r>
      <w:r>
        <w:rPr>
          <w:rFonts w:hint="eastAsia" w:ascii="仿宋_GB2312" w:hAnsi="Calibri" w:eastAsia="仿宋_GB2312"/>
          <w:spacing w:val="-20"/>
          <w:sz w:val="32"/>
          <w:szCs w:val="22"/>
        </w:rPr>
        <w:t>月</w:t>
      </w:r>
      <w:r>
        <w:rPr>
          <w:rFonts w:hint="eastAsia" w:ascii="仿宋_GB2312" w:hAnsi="Calibri" w:eastAsia="仿宋_GB2312"/>
          <w:spacing w:val="-20"/>
          <w:sz w:val="32"/>
          <w:szCs w:val="22"/>
          <w:lang w:eastAsia="zh-CN"/>
        </w:rPr>
        <w:t>二十五</w:t>
      </w:r>
      <w:r>
        <w:rPr>
          <w:rFonts w:hint="eastAsia" w:ascii="仿宋_GB2312" w:hAnsi="Calibri" w:eastAsia="仿宋_GB2312"/>
          <w:spacing w:val="-20"/>
          <w:sz w:val="32"/>
          <w:szCs w:val="22"/>
        </w:rPr>
        <w:t>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宋体" w:eastAsia="黑体"/>
          <w:b/>
          <w:sz w:val="32"/>
          <w:szCs w:val="32"/>
          <w:u w:val="single"/>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黑体" w:hAnsi="宋体" w:eastAsia="黑体"/>
          <w:b/>
          <w:sz w:val="32"/>
          <w:szCs w:val="32"/>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sz w:val="32"/>
          <w:szCs w:val="32"/>
          <w:u w:val="single"/>
          <w:lang w:val="en-US" w:eastAsia="zh-CN"/>
        </w:rPr>
      </w:pPr>
      <w:r>
        <w:rPr>
          <w:rFonts w:hint="eastAsia" w:ascii="黑体" w:hAnsi="宋体" w:eastAsia="黑体"/>
          <w:b/>
          <w:sz w:val="32"/>
          <w:szCs w:val="32"/>
          <w:u w:val="single"/>
        </w:rPr>
        <w:t>主题词：</w:t>
      </w:r>
      <w:r>
        <w:rPr>
          <w:rFonts w:hint="eastAsia" w:ascii="方正小标宋简体" w:hAnsi="方正小标宋简体" w:eastAsia="方正小标宋简体" w:cs="方正小标宋简体"/>
          <w:b w:val="0"/>
          <w:bCs/>
          <w:sz w:val="32"/>
          <w:szCs w:val="32"/>
          <w:u w:val="single"/>
          <w:lang w:eastAsia="zh-CN"/>
        </w:rPr>
        <w:t>开展</w:t>
      </w:r>
      <w:r>
        <w:rPr>
          <w:rFonts w:hint="eastAsia" w:ascii="方正小标宋简体" w:hAnsi="方正小标宋简体" w:eastAsia="方正小标宋简体" w:cs="方正小标宋简体"/>
          <w:b/>
          <w:sz w:val="32"/>
          <w:szCs w:val="32"/>
          <w:u w:val="single"/>
          <w:lang w:val="en-US" w:eastAsia="zh-CN"/>
        </w:rPr>
        <w:t xml:space="preserve"> </w:t>
      </w:r>
      <w:r>
        <w:rPr>
          <w:rFonts w:hint="eastAsia" w:ascii="方正小标宋简体" w:hAnsi="方正小标宋简体" w:eastAsia="方正小标宋简体" w:cs="方正小标宋简体"/>
          <w:b w:val="0"/>
          <w:bCs/>
          <w:sz w:val="32"/>
          <w:szCs w:val="32"/>
          <w:u w:val="single"/>
          <w:lang w:val="en-US" w:eastAsia="zh-CN"/>
        </w:rPr>
        <w:t xml:space="preserve"> 特别主题  团日活动  通知</w:t>
      </w:r>
      <w:r>
        <w:rPr>
          <w:rFonts w:hint="eastAsia" w:ascii="方正小标宋简体" w:hAnsi="方正小标宋简体" w:eastAsia="方正小标宋简体" w:cs="方正小标宋简体"/>
          <w:b w:val="0"/>
          <w:bCs/>
          <w:sz w:val="32"/>
          <w:szCs w:val="32"/>
          <w:u w:val="single"/>
          <w:lang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pacing w:val="-20"/>
          <w:sz w:val="32"/>
          <w:szCs w:val="22"/>
          <w:u w:val="single"/>
          <w:lang w:val="en-US" w:eastAsia="zh-CN"/>
        </w:rPr>
      </w:pPr>
      <w:bookmarkStart w:id="0" w:name="抄送"/>
      <w:bookmarkEnd w:id="0"/>
      <w:bookmarkStart w:id="1" w:name="印发单位"/>
      <w:r>
        <w:rPr>
          <w:rFonts w:hint="eastAsia" w:ascii="仿宋_GB2312" w:hAnsi="宋体" w:eastAsia="仿宋_GB2312"/>
          <w:spacing w:val="-20"/>
          <w:sz w:val="32"/>
          <w:szCs w:val="32"/>
          <w:u w:val="single"/>
        </w:rPr>
        <w:t>共青团浙江医药高等专科学校委员会</w:t>
      </w:r>
      <w:bookmarkEnd w:id="1"/>
      <w:r>
        <w:rPr>
          <w:rFonts w:hint="eastAsia" w:ascii="仿宋_GB2312" w:hAnsi="宋体" w:eastAsia="仿宋_GB2312"/>
          <w:spacing w:val="-20"/>
          <w:sz w:val="32"/>
          <w:szCs w:val="32"/>
          <w:u w:val="single"/>
        </w:rPr>
        <w:t xml:space="preserve">      </w:t>
      </w:r>
      <w:bookmarkStart w:id="2" w:name="印发日期"/>
      <w:r>
        <w:rPr>
          <w:rFonts w:hint="eastAsia" w:ascii="仿宋_GB2312" w:hAnsi="宋体" w:eastAsia="仿宋_GB2312"/>
          <w:spacing w:val="-20"/>
          <w:sz w:val="32"/>
          <w:szCs w:val="32"/>
          <w:u w:val="single"/>
          <w:lang w:val="en-US" w:eastAsia="zh-CN"/>
        </w:rPr>
        <w:t xml:space="preserve">     </w:t>
      </w:r>
      <w:r>
        <w:rPr>
          <w:rFonts w:hint="eastAsia" w:ascii="仿宋_GB2312" w:hAnsi="Calibri" w:eastAsia="仿宋_GB2312"/>
          <w:spacing w:val="-20"/>
          <w:sz w:val="32"/>
          <w:szCs w:val="22"/>
          <w:u w:val="single"/>
        </w:rPr>
        <w:t>二○一</w:t>
      </w:r>
      <w:r>
        <w:rPr>
          <w:rFonts w:hint="eastAsia" w:ascii="仿宋_GB2312" w:hAnsi="Calibri" w:eastAsia="仿宋_GB2312"/>
          <w:spacing w:val="-20"/>
          <w:sz w:val="32"/>
          <w:szCs w:val="22"/>
          <w:u w:val="single"/>
          <w:lang w:eastAsia="zh-CN"/>
        </w:rPr>
        <w:t>九</w:t>
      </w:r>
      <w:r>
        <w:rPr>
          <w:rFonts w:hint="eastAsia" w:ascii="仿宋_GB2312" w:hAnsi="Calibri" w:eastAsia="仿宋_GB2312"/>
          <w:spacing w:val="-20"/>
          <w:sz w:val="32"/>
          <w:szCs w:val="22"/>
          <w:u w:val="single"/>
        </w:rPr>
        <w:t>年</w:t>
      </w:r>
      <w:r>
        <w:rPr>
          <w:rFonts w:hint="eastAsia" w:ascii="仿宋_GB2312" w:hAnsi="Calibri" w:eastAsia="仿宋_GB2312"/>
          <w:spacing w:val="-20"/>
          <w:sz w:val="32"/>
          <w:szCs w:val="22"/>
          <w:u w:val="single"/>
          <w:lang w:eastAsia="zh-CN"/>
        </w:rPr>
        <w:t>三</w:t>
      </w:r>
      <w:r>
        <w:rPr>
          <w:rFonts w:hint="eastAsia" w:ascii="仿宋_GB2312" w:hAnsi="Calibri" w:eastAsia="仿宋_GB2312"/>
          <w:spacing w:val="-20"/>
          <w:sz w:val="32"/>
          <w:szCs w:val="22"/>
          <w:u w:val="single"/>
        </w:rPr>
        <w:t>月</w:t>
      </w:r>
      <w:r>
        <w:rPr>
          <w:rFonts w:hint="eastAsia" w:ascii="仿宋_GB2312" w:hAnsi="Calibri" w:eastAsia="仿宋_GB2312"/>
          <w:spacing w:val="-20"/>
          <w:sz w:val="32"/>
          <w:szCs w:val="22"/>
          <w:u w:val="single"/>
          <w:lang w:eastAsia="zh-CN"/>
        </w:rPr>
        <w:t>二十五</w:t>
      </w:r>
      <w:bookmarkEnd w:id="2"/>
      <w:r>
        <w:rPr>
          <w:rFonts w:hint="eastAsia" w:ascii="仿宋_GB2312" w:eastAsia="仿宋_GB2312"/>
          <w:spacing w:val="-20"/>
          <w:sz w:val="32"/>
          <w:szCs w:val="22"/>
          <w:u w:val="single"/>
          <w:lang w:eastAsia="zh-CN"/>
        </w:rPr>
        <w:t>日</w:t>
      </w:r>
      <w:r>
        <w:rPr>
          <w:rFonts w:hint="eastAsia" w:ascii="仿宋_GB2312" w:eastAsia="仿宋_GB2312"/>
          <w:spacing w:val="-20"/>
          <w:sz w:val="32"/>
          <w:szCs w:val="22"/>
          <w:u w:val="single"/>
          <w:lang w:val="en-US" w:eastAsia="zh-CN"/>
        </w:rPr>
        <w:t xml:space="preserve"> </w:t>
      </w:r>
    </w:p>
    <w:p>
      <w:pPr>
        <w:spacing w:line="640" w:lineRule="exact"/>
        <w:ind w:firstLine="436" w:firstLineChars="100"/>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关于在全校开展“青春心向党•建功新时代”</w:t>
      </w:r>
    </w:p>
    <w:p>
      <w:pPr>
        <w:spacing w:line="640" w:lineRule="exact"/>
        <w:jc w:val="center"/>
        <w:rPr>
          <w:rFonts w:ascii="仿宋_GB2312" w:eastAsia="仿宋_GB2312"/>
          <w:sz w:val="32"/>
          <w:szCs w:val="32"/>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特别主题团日活动的通知</w:t>
      </w:r>
      <w:bookmarkStart w:id="3" w:name="_GoBack"/>
      <w:bookmarkEnd w:id="3"/>
    </w:p>
    <w:p>
      <w:pPr>
        <w:spacing w:line="640" w:lineRule="exact"/>
        <w:ind w:firstLine="632" w:firstLineChars="200"/>
        <w:rPr>
          <w:rFonts w:ascii="仿宋_GB2312" w:eastAsia="仿宋_GB2312"/>
          <w:sz w:val="32"/>
          <w:szCs w:val="32"/>
        </w:rPr>
      </w:pPr>
      <w:r>
        <w:rPr>
          <w:rFonts w:hint="eastAsia" w:ascii="仿宋_GB2312" w:eastAsia="仿宋_GB2312"/>
          <w:sz w:val="32"/>
          <w:szCs w:val="32"/>
        </w:rPr>
        <w:t>按照团中央和团省委的工作部署，为隆重庆祝新中国成立70周年、纪念五四运动100周年，校团委决定在全校团员中开展“青春心向党·建功新时代”特别主题团日活动，突出仪式教育感召作用，依托各地红色教育资源，组织全体共青团员在庄严肃穆的仪式中接受“沉浸式”精神洗礼。方案如下。</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一、活动主题</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青春心向党·建功新时代</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二、活动时间</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清明节起至5月中旬</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三、活动地点</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学校；五四运动相关的纪念场馆；各地标志性的革命遗址、红色纪念场所、烈士陵园等相关爱国主义教育基地。</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四、参加范围</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学校全体共青团员</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五、主要内容</w:t>
      </w:r>
    </w:p>
    <w:p>
      <w:pPr>
        <w:spacing w:line="640" w:lineRule="exact"/>
        <w:ind w:firstLine="632" w:firstLineChars="200"/>
        <w:rPr>
          <w:rFonts w:ascii="黑体" w:hAnsi="黑体" w:eastAsia="黑体"/>
          <w:sz w:val="32"/>
          <w:szCs w:val="32"/>
        </w:rPr>
      </w:pPr>
      <w:r>
        <w:rPr>
          <w:rFonts w:hint="eastAsia" w:ascii="楷体_GB2312" w:hAnsi="黑体" w:eastAsia="楷体_GB2312"/>
          <w:sz w:val="32"/>
          <w:szCs w:val="32"/>
        </w:rPr>
        <w:t>1.齐唱国歌</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组织全体列队集合，齐唱国歌。</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2.参观瞻仰</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全体团员赴纪念场馆，参观学习。追忆革命故事，缅怀英雄先烈，传承五四精神。</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3.“纪念五四运动100周年”主题微团课</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请党史团史领域专家、典型模范、青年教师等以纪念五四运动100周年为主题，在现场为团员讲授微团课。</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4.团旗下的演讲</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选取1名优秀共青团员代表，围绕在新代继承和弘扬五四精神，争做担当民族复兴大任的时代新人等内容，进行1场团旗下的演讲。</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5.入团宣誓</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组织新团员入团宣誓，老团员重温入团誓词，由1名团员代表领誓。</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6.寄语团员</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邀请上级党组织负责人为新团员戴团徽，随后向团员青年寄语，提出希望和要求。</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7.齐唱团歌</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8.互动展示</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全体团员在现场写下活动感悟和奋斗目标，进行集中展示。</w:t>
      </w:r>
    </w:p>
    <w:p>
      <w:pPr>
        <w:spacing w:line="640" w:lineRule="exact"/>
        <w:ind w:firstLine="632" w:firstLineChars="200"/>
        <w:rPr>
          <w:rFonts w:ascii="仿宋_GB2312" w:eastAsia="仿宋_GB2312"/>
          <w:sz w:val="32"/>
          <w:szCs w:val="32"/>
        </w:rPr>
      </w:pPr>
      <w:r>
        <w:rPr>
          <w:rFonts w:hint="eastAsia" w:ascii="仿宋_GB2312" w:eastAsia="仿宋_GB2312"/>
          <w:sz w:val="32"/>
          <w:szCs w:val="32"/>
        </w:rPr>
        <w:t>在以上环节基础上，各团组织可根据实际情况，酌情增加敬献花篮、默哀致敬等环节。</w:t>
      </w:r>
    </w:p>
    <w:p>
      <w:pPr>
        <w:spacing w:line="640" w:lineRule="exact"/>
        <w:ind w:firstLine="632" w:firstLineChars="200"/>
        <w:rPr>
          <w:rFonts w:ascii="黑体" w:hAnsi="黑体" w:eastAsia="黑体"/>
          <w:sz w:val="32"/>
          <w:szCs w:val="32"/>
        </w:rPr>
      </w:pPr>
      <w:r>
        <w:rPr>
          <w:rFonts w:hint="eastAsia" w:ascii="黑体" w:hAnsi="黑体" w:eastAsia="黑体"/>
          <w:sz w:val="32"/>
          <w:szCs w:val="32"/>
        </w:rPr>
        <w:t>六、工作要求</w:t>
      </w: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1.严格规范活动流程。</w:t>
      </w:r>
      <w:r>
        <w:rPr>
          <w:rFonts w:hint="eastAsia" w:ascii="仿宋_GB2312" w:eastAsia="仿宋_GB2312"/>
          <w:sz w:val="32"/>
          <w:szCs w:val="32"/>
        </w:rPr>
        <w:t>“青春心向党·建功新时代”特别主题团日活动，重在通过庄严肃穆的仪式教育，以仪式感营造神圣感、崇高感，引导广大团员青年继承五四精神，坚定理想信念，矢志建功立业。活动期间，团中央将推出活动示范片《共青团公开课——主题团日仪式教育》和活动主题标识，各学院团组织要参照本方案及活动示范片的流程，认真策划组织，活动过程中，要在醒目位置鲜明展示主题标识，营造全团整齐划一，统一行动的强大声势。</w:t>
      </w:r>
    </w:p>
    <w:p>
      <w:pPr>
        <w:spacing w:line="640" w:lineRule="exact"/>
        <w:ind w:firstLine="632" w:firstLineChars="200"/>
        <w:rPr>
          <w:rFonts w:ascii="仿宋_GB2312" w:eastAsia="仿宋_GB2312"/>
          <w:sz w:val="32"/>
          <w:szCs w:val="32"/>
        </w:rPr>
      </w:pPr>
      <w:r>
        <w:rPr>
          <w:rFonts w:hint="eastAsia" w:ascii="楷体_GB2312" w:hAnsi="黑体" w:eastAsia="楷体_GB2312"/>
          <w:sz w:val="32"/>
          <w:szCs w:val="32"/>
        </w:rPr>
        <w:t>2.全面覆盖所有团员。</w:t>
      </w:r>
      <w:r>
        <w:rPr>
          <w:rFonts w:hint="eastAsia" w:ascii="仿宋_GB2312" w:eastAsia="仿宋_GB2312"/>
          <w:sz w:val="32"/>
          <w:szCs w:val="32"/>
        </w:rPr>
        <w:t>充分发挥共青团的组织优势，组织全体团员走出教室、寝室，到各类红色教育阵地实地接受一次“沉浸式”的精神洗礼，要最大限度地发动团的各级组织、特别是班级团支部普遍开展仪式教育。务必覆盖到团全校所有团员青年，校团委书记班子成员至少参加1场基层主题活动，各学院分团委主要负责人也要深入班级团支部参加特别主题团日活动。</w:t>
      </w:r>
    </w:p>
    <w:p>
      <w:pPr>
        <w:spacing w:line="640" w:lineRule="exact"/>
        <w:ind w:firstLine="632" w:firstLineChars="200"/>
        <w:rPr>
          <w:rFonts w:ascii="仿宋_GB2312" w:eastAsia="仿宋_GB2312"/>
          <w:sz w:val="32"/>
          <w:szCs w:val="32"/>
        </w:rPr>
      </w:pPr>
      <w:r>
        <w:rPr>
          <w:rFonts w:hint="eastAsia" w:ascii="楷体_GB2312" w:hAnsi="黑体" w:eastAsia="楷体_GB2312"/>
          <w:sz w:val="32"/>
          <w:szCs w:val="32"/>
        </w:rPr>
        <w:t>3.</w:t>
      </w:r>
      <w:r>
        <w:rPr>
          <w:rFonts w:hint="eastAsia"/>
        </w:rPr>
        <w:t xml:space="preserve"> </w:t>
      </w:r>
      <w:r>
        <w:rPr>
          <w:rFonts w:hint="eastAsia" w:ascii="楷体_GB2312" w:hAnsi="黑体" w:eastAsia="楷体_GB2312"/>
          <w:sz w:val="32"/>
          <w:szCs w:val="32"/>
        </w:rPr>
        <w:t>持续掀起活动热潮。</w:t>
      </w:r>
      <w:r>
        <w:rPr>
          <w:rFonts w:hint="eastAsia" w:ascii="仿宋_GB2312" w:eastAsia="仿宋_GB2312"/>
          <w:sz w:val="32"/>
          <w:szCs w:val="32"/>
        </w:rPr>
        <w:t>各学院分团委在设计具体活动方案时，要注意统筹协调各班级团支部的活动安排，把握各项活动的节奏，力争做到活动期间“天天有活动、周周掀高潮”，务必努力形成全团集中行动，青年踊跃参与的生动局面。五四当天重点开展组织收听收看中央有关活动的报道，务必让每一名团员、团干部都参与收听收看，并在全团迅速掀起学习贯彻中央精神的热潮。</w:t>
      </w:r>
    </w:p>
    <w:p>
      <w:pPr>
        <w:spacing w:line="640" w:lineRule="exact"/>
        <w:ind w:firstLine="632" w:firstLineChars="200"/>
        <w:rPr>
          <w:rFonts w:ascii="仿宋_GB2312" w:eastAsia="仿宋_GB2312"/>
          <w:sz w:val="32"/>
          <w:szCs w:val="32"/>
        </w:rPr>
      </w:pPr>
      <w:r>
        <w:rPr>
          <w:rFonts w:hint="eastAsia" w:ascii="楷体_GB2312" w:hAnsi="黑体" w:eastAsia="楷体_GB2312"/>
          <w:sz w:val="32"/>
          <w:szCs w:val="32"/>
        </w:rPr>
        <w:t>4.集中开展网络直播。</w:t>
      </w:r>
      <w:r>
        <w:rPr>
          <w:rFonts w:hint="eastAsia" w:ascii="仿宋_GB2312" w:eastAsia="仿宋_GB2312"/>
          <w:sz w:val="32"/>
          <w:szCs w:val="32"/>
        </w:rPr>
        <w:t>结合开展线下主题团日活动，各学院分团委要自主开展至少1场示范性直播活动。要大力发动班级团支部和团员青年围绕活动主题，积极创作直播和短视频作品，通过网络直播平台集中推送。</w:t>
      </w:r>
    </w:p>
    <w:p>
      <w:pPr>
        <w:spacing w:line="640" w:lineRule="exact"/>
        <w:ind w:firstLine="632" w:firstLineChars="200"/>
        <w:rPr>
          <w:rFonts w:ascii="楷体_GB2312" w:hAnsi="黑体" w:eastAsia="楷体_GB2312"/>
          <w:sz w:val="32"/>
          <w:szCs w:val="32"/>
        </w:rPr>
      </w:pPr>
    </w:p>
    <w:p>
      <w:pPr>
        <w:spacing w:line="640" w:lineRule="exact"/>
        <w:ind w:firstLine="632" w:firstLineChars="200"/>
        <w:rPr>
          <w:rFonts w:ascii="仿宋_GB2312" w:eastAsia="仿宋_GB2312"/>
          <w:sz w:val="32"/>
          <w:szCs w:val="32"/>
        </w:rPr>
      </w:pPr>
      <w:r>
        <w:rPr>
          <w:rFonts w:hint="eastAsia" w:ascii="仿宋_GB2312" w:eastAsia="仿宋_GB2312"/>
          <w:sz w:val="32"/>
          <w:szCs w:val="32"/>
        </w:rPr>
        <w:t>4月5日前，请各学院分团委向校团委报送重点活动安排情况统计表（见附件）。开展活动后请妥善保存视频、图片资料，校团委将择优进行宣传和推介。</w:t>
      </w:r>
    </w:p>
    <w:p>
      <w:pPr>
        <w:spacing w:line="640" w:lineRule="exact"/>
        <w:ind w:firstLine="632" w:firstLineChars="200"/>
        <w:rPr>
          <w:rFonts w:ascii="仿宋_GB2312" w:eastAsia="仿宋_GB2312"/>
          <w:sz w:val="32"/>
          <w:szCs w:val="32"/>
        </w:rPr>
      </w:pPr>
    </w:p>
    <w:p>
      <w:pPr>
        <w:spacing w:line="640" w:lineRule="exact"/>
        <w:ind w:firstLine="632" w:firstLineChars="200"/>
        <w:rPr>
          <w:rFonts w:ascii="楷体_GB2312" w:hAnsi="黑体" w:eastAsia="楷体_GB2312"/>
          <w:sz w:val="32"/>
          <w:szCs w:val="32"/>
        </w:rPr>
      </w:pPr>
      <w:r>
        <w:rPr>
          <w:rFonts w:hint="eastAsia" w:ascii="楷体_GB2312" w:hAnsi="黑体" w:eastAsia="楷体_GB2312"/>
          <w:sz w:val="32"/>
          <w:szCs w:val="32"/>
        </w:rPr>
        <w:t>附件：“青春心向党</w:t>
      </w:r>
      <w:r>
        <w:rPr>
          <w:rFonts w:hint="eastAsia" w:ascii="仿宋_GB2312" w:eastAsia="仿宋_GB2312"/>
          <w:sz w:val="32"/>
          <w:szCs w:val="32"/>
        </w:rPr>
        <w:t>·</w:t>
      </w:r>
      <w:r>
        <w:rPr>
          <w:rFonts w:hint="eastAsia" w:ascii="楷体_GB2312" w:hAnsi="黑体" w:eastAsia="楷体_GB2312"/>
          <w:sz w:val="32"/>
          <w:szCs w:val="32"/>
        </w:rPr>
        <w:t>建功新时代”特别主题团日活动安排情况表</w:t>
      </w:r>
    </w:p>
    <w:p>
      <w:pPr>
        <w:spacing w:line="640" w:lineRule="exact"/>
        <w:rPr>
          <w:rFonts w:ascii="楷体_GB2312" w:hAnsi="黑体" w:eastAsia="楷体_GB2312"/>
          <w:sz w:val="32"/>
          <w:szCs w:val="32"/>
        </w:rPr>
      </w:pPr>
    </w:p>
    <w:p>
      <w:pPr>
        <w:autoSpaceDE w:val="0"/>
        <w:autoSpaceDN w:val="0"/>
        <w:adjustRightInd w:val="0"/>
        <w:spacing w:line="500" w:lineRule="exact"/>
        <w:ind w:firstLine="632" w:firstLineChars="200"/>
        <w:jc w:val="left"/>
        <w:rPr>
          <w:rFonts w:ascii="仿宋_GB2312" w:hAnsi="Verdana" w:eastAsia="仿宋_GB2312" w:cs="宋体"/>
          <w:color w:val="000000"/>
          <w:kern w:val="0"/>
          <w:sz w:val="32"/>
          <w:szCs w:val="32"/>
        </w:rPr>
      </w:pPr>
      <w:r>
        <w:rPr>
          <w:rFonts w:hint="eastAsia" w:ascii="仿宋_GB2312" w:hAnsi="仿宋" w:eastAsia="仿宋_GB2312"/>
          <w:color w:val="000000"/>
          <w:sz w:val="32"/>
          <w:szCs w:val="32"/>
        </w:rPr>
        <w:t>校团委联系人：</w:t>
      </w:r>
      <w:r>
        <w:rPr>
          <w:rFonts w:hint="eastAsia" w:ascii="仿宋_GB2312" w:hAnsi="Verdana" w:eastAsia="仿宋_GB2312" w:cs="宋体"/>
          <w:color w:val="000000"/>
          <w:kern w:val="0"/>
          <w:sz w:val="32"/>
          <w:szCs w:val="32"/>
        </w:rPr>
        <w:t xml:space="preserve">刘  琼  联系方式：88222709 </w:t>
      </w:r>
    </w:p>
    <w:p>
      <w:pPr>
        <w:autoSpaceDE w:val="0"/>
        <w:autoSpaceDN w:val="0"/>
        <w:adjustRightInd w:val="0"/>
        <w:spacing w:line="500" w:lineRule="exact"/>
        <w:ind w:firstLine="632" w:firstLineChars="200"/>
        <w:jc w:val="left"/>
        <w:rPr>
          <w:rFonts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电子邮箱：</w:t>
      </w:r>
      <w:r>
        <w:rPr>
          <w:rFonts w:ascii="仿宋_GB2312" w:hAnsi="Verdana" w:eastAsia="仿宋_GB2312" w:cs="宋体"/>
          <w:kern w:val="0"/>
          <w:sz w:val="32"/>
          <w:szCs w:val="32"/>
        </w:rPr>
        <w:t>827139430</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w:t>
      </w:r>
      <w:r>
        <w:rPr>
          <w:rFonts w:hint="eastAsia" w:ascii="仿宋_GB2312" w:hAnsi="Verdana" w:eastAsia="仿宋_GB2312" w:cs="宋体"/>
          <w:kern w:val="0"/>
          <w:sz w:val="32"/>
          <w:szCs w:val="32"/>
        </w:rPr>
        <w:t>qq.com</w:t>
      </w:r>
    </w:p>
    <w:p>
      <w:pPr>
        <w:autoSpaceDE w:val="0"/>
        <w:autoSpaceDN w:val="0"/>
        <w:adjustRightInd w:val="0"/>
        <w:spacing w:line="500" w:lineRule="exact"/>
        <w:ind w:firstLine="552" w:firstLineChars="200"/>
        <w:rPr>
          <w:rFonts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 xml:space="preserve">  </w:t>
      </w:r>
    </w:p>
    <w:p>
      <w:pPr>
        <w:autoSpaceDE w:val="0"/>
        <w:autoSpaceDN w:val="0"/>
        <w:adjustRightInd w:val="0"/>
        <w:spacing w:line="500" w:lineRule="exact"/>
        <w:ind w:firstLine="552" w:firstLineChars="200"/>
        <w:jc w:val="center"/>
        <w:rPr>
          <w:rFonts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 xml:space="preserve">                    </w:t>
      </w:r>
    </w:p>
    <w:p>
      <w:pPr>
        <w:autoSpaceDE w:val="0"/>
        <w:autoSpaceDN w:val="0"/>
        <w:adjustRightInd w:val="0"/>
        <w:spacing w:line="500" w:lineRule="exact"/>
        <w:ind w:firstLine="552" w:firstLineChars="200"/>
        <w:jc w:val="center"/>
        <w:rPr>
          <w:rFonts w:ascii="仿宋_GB2312" w:hAnsi="Verdana" w:eastAsia="仿宋_GB2312" w:cs="宋体"/>
          <w:color w:val="000000"/>
          <w:kern w:val="0"/>
          <w:sz w:val="28"/>
          <w:szCs w:val="28"/>
        </w:rPr>
      </w:pPr>
    </w:p>
    <w:p>
      <w:pPr>
        <w:autoSpaceDE w:val="0"/>
        <w:autoSpaceDN w:val="0"/>
        <w:adjustRightInd w:val="0"/>
        <w:spacing w:line="500" w:lineRule="exact"/>
        <w:ind w:firstLine="552" w:firstLineChars="200"/>
        <w:jc w:val="right"/>
        <w:rPr>
          <w:rFonts w:ascii="仿宋_GB2312" w:eastAsia="仿宋_GB2312"/>
          <w:sz w:val="32"/>
          <w:szCs w:val="32"/>
        </w:rPr>
      </w:pPr>
      <w:r>
        <w:rPr>
          <w:rFonts w:hint="eastAsia" w:ascii="仿宋_GB2312" w:hAnsi="Verdana" w:eastAsia="仿宋_GB2312" w:cs="宋体"/>
          <w:color w:val="000000"/>
          <w:kern w:val="0"/>
          <w:sz w:val="28"/>
          <w:szCs w:val="28"/>
        </w:rPr>
        <w:t xml:space="preserve">                     </w:t>
      </w:r>
      <w:r>
        <w:rPr>
          <w:rFonts w:hint="eastAsia" w:ascii="仿宋_GB2312" w:eastAsia="仿宋_GB2312"/>
          <w:sz w:val="32"/>
          <w:szCs w:val="32"/>
        </w:rPr>
        <w:t>共青团浙江医药高等专科学校委员会</w:t>
      </w:r>
    </w:p>
    <w:p>
      <w:pPr>
        <w:autoSpaceDE w:val="0"/>
        <w:autoSpaceDN w:val="0"/>
        <w:adjustRightInd w:val="0"/>
        <w:spacing w:line="500" w:lineRule="exact"/>
        <w:ind w:firstLine="632" w:firstLineChars="200"/>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2019年3月25日</w:t>
      </w:r>
    </w:p>
    <w:p>
      <w:pPr>
        <w:spacing w:line="300" w:lineRule="exact"/>
        <w:rPr>
          <w:rFonts w:ascii="仿宋_GB2312" w:hAnsi="宋体"/>
          <w:sz w:val="28"/>
          <w:szCs w:val="28"/>
        </w:rPr>
      </w:pPr>
    </w:p>
    <w:p>
      <w:pPr>
        <w:widowControl/>
        <w:jc w:val="left"/>
        <w:rPr>
          <w:rFonts w:ascii="仿宋_GB2312" w:eastAsia="仿宋_GB2312"/>
          <w:sz w:val="32"/>
          <w:szCs w:val="32"/>
        </w:rPr>
        <w:sectPr>
          <w:pgSz w:w="11906" w:h="16838"/>
          <w:pgMar w:top="1440" w:right="1474" w:bottom="1440" w:left="1588" w:header="1701" w:footer="1701" w:gutter="0"/>
          <w:cols w:space="425" w:num="1"/>
          <w:docGrid w:type="linesAndChars" w:linePitch="634" w:charSpace="-886"/>
        </w:sectPr>
      </w:pPr>
    </w:p>
    <w:p>
      <w:pPr>
        <w:spacing w:line="640" w:lineRule="exact"/>
        <w:ind w:firstLine="640" w:firstLineChars="200"/>
        <w:rPr>
          <w:rFonts w:ascii="楷体_GB2312" w:hAnsi="黑体" w:eastAsia="楷体_GB2312"/>
          <w:sz w:val="32"/>
          <w:szCs w:val="32"/>
        </w:rPr>
      </w:pPr>
      <w:r>
        <w:rPr>
          <w:rFonts w:hint="eastAsia" w:ascii="楷体_GB2312" w:hAnsi="黑体" w:eastAsia="楷体_GB2312"/>
          <w:sz w:val="32"/>
          <w:szCs w:val="32"/>
        </w:rPr>
        <w:t>附件：</w:t>
      </w:r>
    </w:p>
    <w:p>
      <w:pPr>
        <w:spacing w:line="640" w:lineRule="exact"/>
        <w:ind w:firstLine="640" w:firstLineChars="200"/>
        <w:rPr>
          <w:rFonts w:ascii="楷体_GB2312" w:hAnsi="黑体" w:eastAsia="楷体_GB2312"/>
          <w:sz w:val="32"/>
          <w:szCs w:val="32"/>
        </w:rPr>
      </w:pPr>
    </w:p>
    <w:p>
      <w:pPr>
        <w:spacing w:line="640" w:lineRule="exact"/>
        <w:jc w:val="center"/>
        <w:rPr>
          <w:rFonts w:asci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eastAsia="方正小标宋简体" w:cs="方正小标宋简体"/>
          <w:color w:val="000000" w:themeColor="text1"/>
          <w:sz w:val="44"/>
          <w:szCs w:val="44"/>
          <w14:textFill>
            <w14:solidFill>
              <w14:schemeClr w14:val="tx1"/>
            </w14:solidFill>
          </w14:textFill>
        </w:rPr>
        <w:t>“青春心向党·建功新时代”特别主题团日活动安排情况表</w:t>
      </w:r>
    </w:p>
    <w:p>
      <w:pPr>
        <w:widowControl/>
        <w:jc w:val="left"/>
        <w:rPr>
          <w:rFonts w:ascii="仿宋_GB2312" w:eastAsia="仿宋_GB2312"/>
          <w:sz w:val="32"/>
          <w:szCs w:val="32"/>
        </w:rPr>
      </w:pPr>
    </w:p>
    <w:tbl>
      <w:tblPr>
        <w:tblStyle w:val="3"/>
        <w:tblW w:w="15355" w:type="dxa"/>
        <w:tblInd w:w="-36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4"/>
        <w:gridCol w:w="1594"/>
        <w:gridCol w:w="1559"/>
        <w:gridCol w:w="1560"/>
        <w:gridCol w:w="1497"/>
        <w:gridCol w:w="2268"/>
        <w:gridCol w:w="2693"/>
        <w:gridCol w:w="1276"/>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4"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序号</w:t>
            </w:r>
          </w:p>
        </w:tc>
        <w:tc>
          <w:tcPr>
            <w:tcW w:w="1594"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团组织</w:t>
            </w:r>
          </w:p>
          <w:p>
            <w:pPr>
              <w:spacing w:line="640" w:lineRule="exact"/>
              <w:jc w:val="center"/>
              <w:rPr>
                <w:rFonts w:ascii="仿宋_GB2312" w:eastAsia="仿宋_GB2312"/>
                <w:sz w:val="32"/>
                <w:szCs w:val="32"/>
              </w:rPr>
            </w:pPr>
            <w:r>
              <w:rPr>
                <w:rFonts w:hint="eastAsia" w:ascii="仿宋_GB2312" w:eastAsia="仿宋_GB2312"/>
                <w:sz w:val="32"/>
                <w:szCs w:val="32"/>
              </w:rPr>
              <w:t>名称</w:t>
            </w:r>
          </w:p>
        </w:tc>
        <w:tc>
          <w:tcPr>
            <w:tcW w:w="1559"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活动时间</w:t>
            </w:r>
          </w:p>
        </w:tc>
        <w:tc>
          <w:tcPr>
            <w:tcW w:w="1560"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活动地点</w:t>
            </w:r>
          </w:p>
        </w:tc>
        <w:tc>
          <w:tcPr>
            <w:tcW w:w="1497" w:type="dxa"/>
          </w:tcPr>
          <w:p>
            <w:pPr>
              <w:spacing w:line="640" w:lineRule="exact"/>
              <w:jc w:val="center"/>
              <w:rPr>
                <w:rFonts w:ascii="仿宋_GB2312" w:eastAsia="仿宋_GB2312"/>
                <w:sz w:val="32"/>
                <w:szCs w:val="32"/>
              </w:rPr>
            </w:pPr>
            <w:r>
              <w:rPr>
                <w:rFonts w:hint="eastAsia" w:ascii="仿宋_GB2312" w:eastAsia="仿宋_GB2312"/>
                <w:sz w:val="32"/>
                <w:szCs w:val="32"/>
              </w:rPr>
              <w:t>拟参与</w:t>
            </w:r>
          </w:p>
          <w:p>
            <w:pPr>
              <w:spacing w:line="640" w:lineRule="exact"/>
              <w:jc w:val="center"/>
              <w:rPr>
                <w:rFonts w:ascii="仿宋_GB2312" w:eastAsia="仿宋_GB2312"/>
                <w:sz w:val="32"/>
                <w:szCs w:val="32"/>
              </w:rPr>
            </w:pPr>
            <w:r>
              <w:rPr>
                <w:rFonts w:hint="eastAsia" w:ascii="仿宋_GB2312" w:eastAsia="仿宋_GB2312"/>
                <w:sz w:val="32"/>
                <w:szCs w:val="32"/>
              </w:rPr>
              <w:t>人数</w:t>
            </w:r>
          </w:p>
        </w:tc>
        <w:tc>
          <w:tcPr>
            <w:tcW w:w="2268" w:type="dxa"/>
          </w:tcPr>
          <w:p>
            <w:pPr>
              <w:spacing w:line="640" w:lineRule="exact"/>
              <w:jc w:val="center"/>
              <w:rPr>
                <w:rFonts w:ascii="仿宋_GB2312" w:eastAsia="仿宋_GB2312"/>
                <w:sz w:val="32"/>
                <w:szCs w:val="32"/>
              </w:rPr>
            </w:pPr>
            <w:r>
              <w:rPr>
                <w:rFonts w:hint="eastAsia" w:ascii="仿宋_GB2312" w:eastAsia="仿宋_GB2312"/>
                <w:sz w:val="32"/>
                <w:szCs w:val="32"/>
              </w:rPr>
              <w:t>活动简介</w:t>
            </w:r>
          </w:p>
          <w:p>
            <w:pPr>
              <w:spacing w:line="640" w:lineRule="exact"/>
              <w:rPr>
                <w:rFonts w:ascii="仿宋_GB2312" w:eastAsia="仿宋_GB2312"/>
                <w:sz w:val="32"/>
                <w:szCs w:val="32"/>
              </w:rPr>
            </w:pPr>
            <w:r>
              <w:rPr>
                <w:rFonts w:hint="eastAsia" w:ascii="仿宋_GB2312" w:eastAsia="仿宋_GB2312"/>
                <w:sz w:val="32"/>
                <w:szCs w:val="32"/>
              </w:rPr>
              <w:t>（100字以内）</w:t>
            </w:r>
          </w:p>
        </w:tc>
        <w:tc>
          <w:tcPr>
            <w:tcW w:w="2693"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直播平台及账号（如有请填写）</w:t>
            </w:r>
          </w:p>
        </w:tc>
        <w:tc>
          <w:tcPr>
            <w:tcW w:w="1276"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联系人</w:t>
            </w:r>
          </w:p>
        </w:tc>
        <w:tc>
          <w:tcPr>
            <w:tcW w:w="1984" w:type="dxa"/>
            <w:vAlign w:val="center"/>
          </w:tcPr>
          <w:p>
            <w:pPr>
              <w:spacing w:line="640" w:lineRule="exact"/>
              <w:jc w:val="center"/>
              <w:rPr>
                <w:rFonts w:ascii="仿宋_GB2312" w:eastAsia="仿宋_GB2312"/>
                <w:sz w:val="32"/>
                <w:szCs w:val="32"/>
              </w:rPr>
            </w:pPr>
            <w:r>
              <w:rPr>
                <w:rFonts w:hint="eastAsia" w:ascii="仿宋_GB2312" w:eastAsia="仿宋_GB2312"/>
                <w:sz w:val="32"/>
                <w:szCs w:val="32"/>
              </w:rPr>
              <w:t>手机号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4" w:type="dxa"/>
          </w:tcPr>
          <w:p>
            <w:pPr>
              <w:spacing w:line="640" w:lineRule="exact"/>
              <w:rPr>
                <w:rFonts w:ascii="仿宋_GB2312" w:eastAsia="仿宋_GB2312"/>
                <w:sz w:val="32"/>
                <w:szCs w:val="32"/>
              </w:rPr>
            </w:pPr>
          </w:p>
        </w:tc>
        <w:tc>
          <w:tcPr>
            <w:tcW w:w="1594" w:type="dxa"/>
          </w:tcPr>
          <w:p>
            <w:pPr>
              <w:spacing w:line="640" w:lineRule="exact"/>
              <w:rPr>
                <w:rFonts w:ascii="仿宋_GB2312" w:eastAsia="仿宋_GB2312"/>
                <w:sz w:val="32"/>
                <w:szCs w:val="32"/>
              </w:rPr>
            </w:pPr>
          </w:p>
        </w:tc>
        <w:tc>
          <w:tcPr>
            <w:tcW w:w="1559" w:type="dxa"/>
          </w:tcPr>
          <w:p>
            <w:pPr>
              <w:spacing w:line="640" w:lineRule="exact"/>
              <w:rPr>
                <w:rFonts w:ascii="仿宋_GB2312" w:eastAsia="仿宋_GB2312"/>
                <w:sz w:val="32"/>
                <w:szCs w:val="32"/>
              </w:rPr>
            </w:pPr>
          </w:p>
        </w:tc>
        <w:tc>
          <w:tcPr>
            <w:tcW w:w="1560" w:type="dxa"/>
          </w:tcPr>
          <w:p>
            <w:pPr>
              <w:spacing w:line="640" w:lineRule="exact"/>
              <w:rPr>
                <w:rFonts w:ascii="仿宋_GB2312" w:eastAsia="仿宋_GB2312"/>
                <w:sz w:val="32"/>
                <w:szCs w:val="32"/>
              </w:rPr>
            </w:pPr>
          </w:p>
        </w:tc>
        <w:tc>
          <w:tcPr>
            <w:tcW w:w="1497" w:type="dxa"/>
          </w:tcPr>
          <w:p>
            <w:pPr>
              <w:spacing w:line="640" w:lineRule="exact"/>
              <w:rPr>
                <w:rFonts w:ascii="仿宋_GB2312" w:eastAsia="仿宋_GB2312"/>
                <w:sz w:val="32"/>
                <w:szCs w:val="32"/>
              </w:rPr>
            </w:pPr>
          </w:p>
        </w:tc>
        <w:tc>
          <w:tcPr>
            <w:tcW w:w="2268" w:type="dxa"/>
          </w:tcPr>
          <w:p>
            <w:pPr>
              <w:spacing w:line="640" w:lineRule="exact"/>
              <w:rPr>
                <w:rFonts w:ascii="仿宋_GB2312" w:eastAsia="仿宋_GB2312"/>
                <w:sz w:val="32"/>
                <w:szCs w:val="32"/>
              </w:rPr>
            </w:pPr>
          </w:p>
        </w:tc>
        <w:tc>
          <w:tcPr>
            <w:tcW w:w="2693" w:type="dxa"/>
          </w:tcPr>
          <w:p>
            <w:pPr>
              <w:spacing w:line="640" w:lineRule="exact"/>
              <w:rPr>
                <w:rFonts w:ascii="仿宋_GB2312" w:eastAsia="仿宋_GB2312"/>
                <w:sz w:val="32"/>
                <w:szCs w:val="32"/>
              </w:rPr>
            </w:pPr>
          </w:p>
        </w:tc>
        <w:tc>
          <w:tcPr>
            <w:tcW w:w="1276" w:type="dxa"/>
          </w:tcPr>
          <w:p>
            <w:pPr>
              <w:spacing w:line="640" w:lineRule="exact"/>
              <w:rPr>
                <w:rFonts w:ascii="仿宋_GB2312" w:eastAsia="仿宋_GB2312"/>
                <w:sz w:val="32"/>
                <w:szCs w:val="32"/>
              </w:rPr>
            </w:pPr>
          </w:p>
        </w:tc>
        <w:tc>
          <w:tcPr>
            <w:tcW w:w="1984" w:type="dxa"/>
          </w:tcPr>
          <w:p>
            <w:pPr>
              <w:spacing w:line="640" w:lineRule="exact"/>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4" w:type="dxa"/>
          </w:tcPr>
          <w:p>
            <w:pPr>
              <w:spacing w:line="640" w:lineRule="exact"/>
              <w:rPr>
                <w:rFonts w:ascii="仿宋_GB2312" w:eastAsia="仿宋_GB2312"/>
                <w:sz w:val="32"/>
                <w:szCs w:val="32"/>
              </w:rPr>
            </w:pPr>
          </w:p>
        </w:tc>
        <w:tc>
          <w:tcPr>
            <w:tcW w:w="1594" w:type="dxa"/>
          </w:tcPr>
          <w:p>
            <w:pPr>
              <w:spacing w:line="640" w:lineRule="exact"/>
              <w:rPr>
                <w:rFonts w:ascii="仿宋_GB2312" w:eastAsia="仿宋_GB2312"/>
                <w:sz w:val="32"/>
                <w:szCs w:val="32"/>
              </w:rPr>
            </w:pPr>
          </w:p>
        </w:tc>
        <w:tc>
          <w:tcPr>
            <w:tcW w:w="1559" w:type="dxa"/>
          </w:tcPr>
          <w:p>
            <w:pPr>
              <w:spacing w:line="640" w:lineRule="exact"/>
              <w:rPr>
                <w:rFonts w:ascii="仿宋_GB2312" w:eastAsia="仿宋_GB2312"/>
                <w:sz w:val="32"/>
                <w:szCs w:val="32"/>
              </w:rPr>
            </w:pPr>
          </w:p>
        </w:tc>
        <w:tc>
          <w:tcPr>
            <w:tcW w:w="1560" w:type="dxa"/>
          </w:tcPr>
          <w:p>
            <w:pPr>
              <w:spacing w:line="640" w:lineRule="exact"/>
              <w:rPr>
                <w:rFonts w:ascii="仿宋_GB2312" w:eastAsia="仿宋_GB2312"/>
                <w:sz w:val="32"/>
                <w:szCs w:val="32"/>
              </w:rPr>
            </w:pPr>
          </w:p>
        </w:tc>
        <w:tc>
          <w:tcPr>
            <w:tcW w:w="1497" w:type="dxa"/>
          </w:tcPr>
          <w:p>
            <w:pPr>
              <w:spacing w:line="640" w:lineRule="exact"/>
              <w:rPr>
                <w:rFonts w:ascii="仿宋_GB2312" w:eastAsia="仿宋_GB2312"/>
                <w:sz w:val="32"/>
                <w:szCs w:val="32"/>
              </w:rPr>
            </w:pPr>
          </w:p>
        </w:tc>
        <w:tc>
          <w:tcPr>
            <w:tcW w:w="2268" w:type="dxa"/>
          </w:tcPr>
          <w:p>
            <w:pPr>
              <w:spacing w:line="640" w:lineRule="exact"/>
              <w:rPr>
                <w:rFonts w:ascii="仿宋_GB2312" w:eastAsia="仿宋_GB2312"/>
                <w:sz w:val="32"/>
                <w:szCs w:val="32"/>
              </w:rPr>
            </w:pPr>
          </w:p>
        </w:tc>
        <w:tc>
          <w:tcPr>
            <w:tcW w:w="2693" w:type="dxa"/>
          </w:tcPr>
          <w:p>
            <w:pPr>
              <w:spacing w:line="640" w:lineRule="exact"/>
              <w:rPr>
                <w:rFonts w:ascii="仿宋_GB2312" w:eastAsia="仿宋_GB2312"/>
                <w:sz w:val="32"/>
                <w:szCs w:val="32"/>
              </w:rPr>
            </w:pPr>
          </w:p>
        </w:tc>
        <w:tc>
          <w:tcPr>
            <w:tcW w:w="1276" w:type="dxa"/>
          </w:tcPr>
          <w:p>
            <w:pPr>
              <w:spacing w:line="640" w:lineRule="exact"/>
              <w:rPr>
                <w:rFonts w:ascii="仿宋_GB2312" w:eastAsia="仿宋_GB2312"/>
                <w:sz w:val="32"/>
                <w:szCs w:val="32"/>
              </w:rPr>
            </w:pPr>
          </w:p>
        </w:tc>
        <w:tc>
          <w:tcPr>
            <w:tcW w:w="1984" w:type="dxa"/>
          </w:tcPr>
          <w:p>
            <w:pPr>
              <w:spacing w:line="640" w:lineRule="exact"/>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4" w:type="dxa"/>
          </w:tcPr>
          <w:p>
            <w:pPr>
              <w:spacing w:line="640" w:lineRule="exact"/>
              <w:rPr>
                <w:rFonts w:ascii="仿宋_GB2312" w:eastAsia="仿宋_GB2312"/>
                <w:sz w:val="32"/>
                <w:szCs w:val="32"/>
              </w:rPr>
            </w:pPr>
          </w:p>
        </w:tc>
        <w:tc>
          <w:tcPr>
            <w:tcW w:w="1594" w:type="dxa"/>
          </w:tcPr>
          <w:p>
            <w:pPr>
              <w:spacing w:line="640" w:lineRule="exact"/>
              <w:rPr>
                <w:rFonts w:ascii="仿宋_GB2312" w:eastAsia="仿宋_GB2312"/>
                <w:sz w:val="32"/>
                <w:szCs w:val="32"/>
              </w:rPr>
            </w:pPr>
          </w:p>
        </w:tc>
        <w:tc>
          <w:tcPr>
            <w:tcW w:w="1559" w:type="dxa"/>
          </w:tcPr>
          <w:p>
            <w:pPr>
              <w:spacing w:line="640" w:lineRule="exact"/>
              <w:rPr>
                <w:rFonts w:ascii="仿宋_GB2312" w:eastAsia="仿宋_GB2312"/>
                <w:sz w:val="32"/>
                <w:szCs w:val="32"/>
              </w:rPr>
            </w:pPr>
          </w:p>
        </w:tc>
        <w:tc>
          <w:tcPr>
            <w:tcW w:w="1560" w:type="dxa"/>
          </w:tcPr>
          <w:p>
            <w:pPr>
              <w:spacing w:line="640" w:lineRule="exact"/>
              <w:rPr>
                <w:rFonts w:ascii="仿宋_GB2312" w:eastAsia="仿宋_GB2312"/>
                <w:sz w:val="32"/>
                <w:szCs w:val="32"/>
              </w:rPr>
            </w:pPr>
          </w:p>
        </w:tc>
        <w:tc>
          <w:tcPr>
            <w:tcW w:w="1497" w:type="dxa"/>
          </w:tcPr>
          <w:p>
            <w:pPr>
              <w:spacing w:line="640" w:lineRule="exact"/>
              <w:rPr>
                <w:rFonts w:ascii="仿宋_GB2312" w:eastAsia="仿宋_GB2312"/>
                <w:sz w:val="32"/>
                <w:szCs w:val="32"/>
              </w:rPr>
            </w:pPr>
          </w:p>
        </w:tc>
        <w:tc>
          <w:tcPr>
            <w:tcW w:w="2268" w:type="dxa"/>
          </w:tcPr>
          <w:p>
            <w:pPr>
              <w:spacing w:line="640" w:lineRule="exact"/>
              <w:rPr>
                <w:rFonts w:ascii="仿宋_GB2312" w:eastAsia="仿宋_GB2312"/>
                <w:sz w:val="32"/>
                <w:szCs w:val="32"/>
              </w:rPr>
            </w:pPr>
          </w:p>
        </w:tc>
        <w:tc>
          <w:tcPr>
            <w:tcW w:w="2693" w:type="dxa"/>
          </w:tcPr>
          <w:p>
            <w:pPr>
              <w:spacing w:line="640" w:lineRule="exact"/>
              <w:rPr>
                <w:rFonts w:ascii="仿宋_GB2312" w:eastAsia="仿宋_GB2312"/>
                <w:sz w:val="32"/>
                <w:szCs w:val="32"/>
              </w:rPr>
            </w:pPr>
          </w:p>
        </w:tc>
        <w:tc>
          <w:tcPr>
            <w:tcW w:w="1276" w:type="dxa"/>
          </w:tcPr>
          <w:p>
            <w:pPr>
              <w:spacing w:line="640" w:lineRule="exact"/>
              <w:rPr>
                <w:rFonts w:ascii="仿宋_GB2312" w:eastAsia="仿宋_GB2312"/>
                <w:sz w:val="32"/>
                <w:szCs w:val="32"/>
              </w:rPr>
            </w:pPr>
          </w:p>
        </w:tc>
        <w:tc>
          <w:tcPr>
            <w:tcW w:w="1984" w:type="dxa"/>
          </w:tcPr>
          <w:p>
            <w:pPr>
              <w:spacing w:line="640" w:lineRule="exact"/>
              <w:rPr>
                <w:rFonts w:ascii="仿宋_GB2312" w:eastAsia="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4" w:type="dxa"/>
          </w:tcPr>
          <w:p>
            <w:pPr>
              <w:spacing w:line="640" w:lineRule="exact"/>
              <w:rPr>
                <w:rFonts w:ascii="仿宋_GB2312" w:eastAsia="仿宋_GB2312"/>
                <w:sz w:val="32"/>
                <w:szCs w:val="32"/>
              </w:rPr>
            </w:pPr>
          </w:p>
        </w:tc>
        <w:tc>
          <w:tcPr>
            <w:tcW w:w="1594" w:type="dxa"/>
          </w:tcPr>
          <w:p>
            <w:pPr>
              <w:spacing w:line="640" w:lineRule="exact"/>
              <w:rPr>
                <w:rFonts w:ascii="仿宋_GB2312" w:eastAsia="仿宋_GB2312"/>
                <w:sz w:val="32"/>
                <w:szCs w:val="32"/>
              </w:rPr>
            </w:pPr>
          </w:p>
        </w:tc>
        <w:tc>
          <w:tcPr>
            <w:tcW w:w="1559" w:type="dxa"/>
          </w:tcPr>
          <w:p>
            <w:pPr>
              <w:spacing w:line="640" w:lineRule="exact"/>
              <w:rPr>
                <w:rFonts w:ascii="仿宋_GB2312" w:eastAsia="仿宋_GB2312"/>
                <w:sz w:val="32"/>
                <w:szCs w:val="32"/>
              </w:rPr>
            </w:pPr>
          </w:p>
        </w:tc>
        <w:tc>
          <w:tcPr>
            <w:tcW w:w="1560" w:type="dxa"/>
          </w:tcPr>
          <w:p>
            <w:pPr>
              <w:spacing w:line="640" w:lineRule="exact"/>
              <w:rPr>
                <w:rFonts w:ascii="仿宋_GB2312" w:eastAsia="仿宋_GB2312"/>
                <w:sz w:val="32"/>
                <w:szCs w:val="32"/>
              </w:rPr>
            </w:pPr>
          </w:p>
        </w:tc>
        <w:tc>
          <w:tcPr>
            <w:tcW w:w="1497" w:type="dxa"/>
          </w:tcPr>
          <w:p>
            <w:pPr>
              <w:spacing w:line="640" w:lineRule="exact"/>
              <w:rPr>
                <w:rFonts w:ascii="仿宋_GB2312" w:eastAsia="仿宋_GB2312"/>
                <w:sz w:val="32"/>
                <w:szCs w:val="32"/>
              </w:rPr>
            </w:pPr>
          </w:p>
        </w:tc>
        <w:tc>
          <w:tcPr>
            <w:tcW w:w="2268" w:type="dxa"/>
          </w:tcPr>
          <w:p>
            <w:pPr>
              <w:spacing w:line="640" w:lineRule="exact"/>
              <w:rPr>
                <w:rFonts w:ascii="仿宋_GB2312" w:eastAsia="仿宋_GB2312"/>
                <w:sz w:val="32"/>
                <w:szCs w:val="32"/>
              </w:rPr>
            </w:pPr>
          </w:p>
        </w:tc>
        <w:tc>
          <w:tcPr>
            <w:tcW w:w="2693" w:type="dxa"/>
          </w:tcPr>
          <w:p>
            <w:pPr>
              <w:spacing w:line="640" w:lineRule="exact"/>
              <w:rPr>
                <w:rFonts w:ascii="仿宋_GB2312" w:eastAsia="仿宋_GB2312"/>
                <w:sz w:val="32"/>
                <w:szCs w:val="32"/>
              </w:rPr>
            </w:pPr>
          </w:p>
        </w:tc>
        <w:tc>
          <w:tcPr>
            <w:tcW w:w="1276" w:type="dxa"/>
          </w:tcPr>
          <w:p>
            <w:pPr>
              <w:spacing w:line="640" w:lineRule="exact"/>
              <w:rPr>
                <w:rFonts w:ascii="仿宋_GB2312" w:eastAsia="仿宋_GB2312"/>
                <w:sz w:val="32"/>
                <w:szCs w:val="32"/>
              </w:rPr>
            </w:pPr>
          </w:p>
        </w:tc>
        <w:tc>
          <w:tcPr>
            <w:tcW w:w="1984" w:type="dxa"/>
          </w:tcPr>
          <w:p>
            <w:pPr>
              <w:spacing w:line="640" w:lineRule="exact"/>
              <w:rPr>
                <w:rFonts w:ascii="仿宋_GB2312" w:eastAsia="仿宋_GB2312"/>
                <w:sz w:val="32"/>
                <w:szCs w:val="32"/>
              </w:rPr>
            </w:pPr>
          </w:p>
        </w:tc>
      </w:tr>
    </w:tbl>
    <w:p>
      <w:pPr>
        <w:spacing w:line="640" w:lineRule="exact"/>
        <w:jc w:val="left"/>
        <w:rPr>
          <w:rFonts w:ascii="仿宋_GB2312" w:eastAsia="仿宋_GB2312"/>
          <w:sz w:val="32"/>
          <w:szCs w:val="32"/>
        </w:rPr>
      </w:pPr>
      <w:r>
        <w:rPr>
          <w:rFonts w:hint="eastAsia" w:ascii="仿宋_GB2312" w:eastAsia="仿宋_GB2312"/>
          <w:sz w:val="32"/>
          <w:szCs w:val="32"/>
        </w:rPr>
        <w:t>注：请学院分团委填报</w:t>
      </w:r>
      <w:r>
        <w:rPr>
          <w:rFonts w:hint="eastAsia" w:ascii="仿宋_GB2312" w:eastAsia="仿宋_GB2312"/>
          <w:b/>
          <w:sz w:val="32"/>
          <w:szCs w:val="32"/>
        </w:rPr>
        <w:t>本级团组织书记班子参加的重点</w:t>
      </w:r>
      <w:r>
        <w:rPr>
          <w:rFonts w:hint="eastAsia" w:ascii="仿宋_GB2312" w:eastAsia="仿宋_GB2312"/>
          <w:sz w:val="32"/>
          <w:szCs w:val="32"/>
        </w:rPr>
        <w:t>主题团日活动计划。</w:t>
      </w:r>
    </w:p>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pacing w:val="-20"/>
          <w:sz w:val="32"/>
          <w:szCs w:val="22"/>
          <w:u w:val="singl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C37DB"/>
    <w:rsid w:val="03DB1A6C"/>
    <w:rsid w:val="13B773FA"/>
    <w:rsid w:val="244C5105"/>
    <w:rsid w:val="2BBA4637"/>
    <w:rsid w:val="31515AE2"/>
    <w:rsid w:val="327C37DB"/>
    <w:rsid w:val="5D0C7246"/>
    <w:rsid w:val="5EFD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5">
    <w:name w:val="样式123"/>
    <w:basedOn w:val="1"/>
    <w:qFormat/>
    <w:uiPriority w:val="0"/>
    <w:pPr>
      <w:spacing w:before="50" w:beforeLines="50" w:after="50" w:afterLines="50" w:line="360" w:lineRule="auto"/>
    </w:pPr>
    <w:rPr>
      <w:rFonts w:ascii="Calibri" w:hAnsi="Calibri"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2019-03-25T10:44:00Z</dcterms:created>
  <dc:creator>hp</dc:creator>
  <cp:lastModifiedBy>hp</cp:lastModifiedBy>
  <cp:lastPrinted>2019-03-26T05:08:00Z</cp:lastPrinted>
  <dcterms:modified xsi:type="dcterms:W3CDTF">2019-03-26T05:30:50Z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